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Hampton Town Hall Newsletter Workgroup</w:t>
      </w:r>
    </w:p>
    <w:p>
      <w:pPr>
        <w:pStyle w:val="Body A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August </w:t>
      </w:r>
      <w:r>
        <w:rPr>
          <w:sz w:val="28"/>
          <w:szCs w:val="28"/>
          <w:rtl w:val="0"/>
          <w:lang w:val="en-US"/>
        </w:rPr>
        <w:t>18</w:t>
      </w:r>
      <w:r>
        <w:rPr>
          <w:sz w:val="28"/>
          <w:szCs w:val="28"/>
          <w:rtl w:val="0"/>
          <w:lang w:val="en-US"/>
        </w:rPr>
        <w:t>, 2022</w:t>
      </w:r>
    </w:p>
    <w:p>
      <w:pPr>
        <w:pStyle w:val="Body A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4:15</w:t>
      </w:r>
      <w:r>
        <w:rPr>
          <w:sz w:val="28"/>
          <w:szCs w:val="28"/>
          <w:rtl w:val="0"/>
          <w:lang w:val="en-US"/>
        </w:rPr>
        <w:t xml:space="preserve"> PM</w:t>
      </w:r>
    </w:p>
    <w:p>
      <w:pPr>
        <w:pStyle w:val="Body A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Town Hall Community Room</w:t>
      </w:r>
    </w:p>
    <w:p>
      <w:pPr>
        <w:pStyle w:val="Body A"/>
        <w:jc w:val="center"/>
        <w:rPr>
          <w:sz w:val="28"/>
          <w:szCs w:val="28"/>
        </w:rPr>
      </w:pPr>
    </w:p>
    <w:p>
      <w:pPr>
        <w:pStyle w:val="Body A"/>
        <w:jc w:val="center"/>
        <w:rPr>
          <w:sz w:val="28"/>
          <w:szCs w:val="28"/>
        </w:rPr>
      </w:pPr>
    </w:p>
    <w:p>
      <w:pPr>
        <w:pStyle w:val="Body A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Agenda</w:t>
      </w:r>
    </w:p>
    <w:p>
      <w:pPr>
        <w:pStyle w:val="Body A"/>
        <w:jc w:val="center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tab/>
      </w:r>
      <w:r>
        <w:rPr>
          <w:sz w:val="26"/>
          <w:szCs w:val="26"/>
          <w:rtl w:val="0"/>
          <w:lang w:val="en-US"/>
        </w:rPr>
        <w:t>1. Call to Order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Body A"/>
        <w:rPr>
          <w:sz w:val="26"/>
          <w:szCs w:val="26"/>
        </w:rPr>
      </w:pPr>
      <w:r>
        <w:tab/>
      </w:r>
      <w:r>
        <w:rPr>
          <w:sz w:val="26"/>
          <w:szCs w:val="26"/>
          <w:rtl w:val="0"/>
          <w:lang w:val="en-US"/>
        </w:rPr>
        <w:t>2. Contributors to include in 1st issue</w:t>
      </w:r>
    </w:p>
    <w:p>
      <w:pPr>
        <w:pStyle w:val="Body A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Body A"/>
        <w:rPr>
          <w:sz w:val="26"/>
          <w:szCs w:val="26"/>
        </w:rPr>
      </w:pPr>
      <w:r>
        <w:tab/>
      </w:r>
      <w:r>
        <w:rPr>
          <w:sz w:val="26"/>
          <w:szCs w:val="26"/>
          <w:rtl w:val="0"/>
          <w:lang w:val="en-US"/>
        </w:rPr>
        <w:t>3. Contributor contact</w:t>
      </w:r>
    </w:p>
    <w:p>
      <w:pPr>
        <w:pStyle w:val="Body A"/>
      </w:pPr>
    </w:p>
    <w:p>
      <w:pPr>
        <w:pStyle w:val="Body A"/>
        <w:rPr>
          <w:sz w:val="26"/>
          <w:szCs w:val="26"/>
        </w:rPr>
      </w:pPr>
      <w:r>
        <w:tab/>
      </w:r>
      <w:r>
        <w:rPr>
          <w:sz w:val="26"/>
          <w:szCs w:val="26"/>
          <w:rtl w:val="0"/>
          <w:lang w:val="en-US"/>
        </w:rPr>
        <w:t>4. Layout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tab/>
      </w:r>
      <w:r>
        <w:rPr>
          <w:sz w:val="26"/>
          <w:szCs w:val="26"/>
          <w:rtl w:val="0"/>
          <w:lang w:val="en-US"/>
        </w:rPr>
        <w:t>5. Printing and mailing costs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tab/>
      </w:r>
      <w:r>
        <w:rPr>
          <w:sz w:val="26"/>
          <w:szCs w:val="26"/>
          <w:rtl w:val="0"/>
          <w:lang w:val="en-US"/>
        </w:rPr>
        <w:t>8. Printing Requirements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tab/>
      </w:r>
      <w:r>
        <w:rPr>
          <w:sz w:val="26"/>
          <w:szCs w:val="26"/>
          <w:rtl w:val="0"/>
          <w:lang w:val="en-US"/>
        </w:rPr>
        <w:t>9. Audience for citizens</w:t>
      </w:r>
    </w:p>
    <w:p>
      <w:pPr>
        <w:pStyle w:val="Body A"/>
        <w:rPr>
          <w:sz w:val="26"/>
          <w:szCs w:val="26"/>
        </w:rPr>
      </w:pPr>
    </w:p>
    <w:p>
      <w:pPr>
        <w:pStyle w:val="Body A"/>
      </w:pPr>
      <w:r>
        <w:tab/>
      </w:r>
      <w:r>
        <w:rPr>
          <w:sz w:val="26"/>
          <w:szCs w:val="26"/>
          <w:rtl w:val="0"/>
          <w:lang w:val="en-US"/>
        </w:rPr>
        <w:t>10.  Adjournment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